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26F210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中国农业科学院学位论文（实践成果）</w:t>
      </w:r>
    </w:p>
    <w:p w14:paraId="77212D05">
      <w:pPr>
        <w:spacing w:line="600" w:lineRule="exact"/>
        <w:jc w:val="center"/>
        <w:rPr>
          <w:rFonts w:eastAsia="黑体"/>
          <w:bCs/>
          <w:color w:val="auto"/>
          <w:sz w:val="36"/>
          <w:szCs w:val="36"/>
        </w:rPr>
      </w:pPr>
      <w:bookmarkStart w:id="0" w:name="_Toc7109"/>
      <w:bookmarkStart w:id="1" w:name="_Toc137"/>
      <w:bookmarkStart w:id="2" w:name="_Toc8976"/>
      <w:bookmarkStart w:id="3" w:name="_Toc21024"/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双盲评阅实施办法</w:t>
      </w:r>
      <w:bookmarkEnd w:id="0"/>
      <w:bookmarkEnd w:id="1"/>
      <w:bookmarkEnd w:id="2"/>
      <w:bookmarkEnd w:id="3"/>
    </w:p>
    <w:p w14:paraId="4EC91785">
      <w:pPr>
        <w:spacing w:line="600" w:lineRule="exact"/>
        <w:jc w:val="center"/>
        <w:outlineLvl w:val="0"/>
        <w:rPr>
          <w:rFonts w:eastAsia="方正小标宋_GBK"/>
          <w:color w:val="auto"/>
          <w:sz w:val="36"/>
          <w:szCs w:val="36"/>
        </w:rPr>
      </w:pPr>
    </w:p>
    <w:p w14:paraId="13982927">
      <w:pPr>
        <w:keepNext w:val="0"/>
        <w:keepLines w:val="0"/>
        <w:pageBreakBefore w:val="0"/>
        <w:widowControl w:val="0"/>
        <w:tabs>
          <w:tab w:val="left" w:pos="1260"/>
          <w:tab w:val="left" w:pos="1560"/>
          <w:tab w:val="left" w:pos="69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bCs/>
          <w:color w:val="auto"/>
          <w:sz w:val="32"/>
          <w:szCs w:val="32"/>
        </w:rPr>
      </w:pPr>
      <w:r>
        <w:rPr>
          <w:rFonts w:hint="eastAsia" w:eastAsia="仿宋_GB2312"/>
          <w:b/>
          <w:color w:val="auto"/>
          <w:sz w:val="32"/>
          <w:szCs w:val="32"/>
        </w:rPr>
        <w:t>第一条</w:t>
      </w:r>
      <w:r>
        <w:rPr>
          <w:rFonts w:hint="eastAsia" w:eastAsia="仿宋_GB2312"/>
          <w:bCs/>
          <w:color w:val="auto"/>
          <w:sz w:val="32"/>
          <w:szCs w:val="32"/>
        </w:rPr>
        <w:t xml:space="preserve"> 为加强研究生学位论文（实践成果）质量监督，客观公正评价学位论文（实践成果）水平，提高研究生培养质量，根据《中国农业科学院学位授予工作实施细则》，结合中国农业科学院实际，制定本办法。</w:t>
      </w:r>
    </w:p>
    <w:p w14:paraId="4F6F7CDB">
      <w:pPr>
        <w:keepNext w:val="0"/>
        <w:keepLines w:val="0"/>
        <w:pageBreakBefore w:val="0"/>
        <w:widowControl w:val="0"/>
        <w:tabs>
          <w:tab w:val="left" w:pos="1260"/>
          <w:tab w:val="left" w:pos="1560"/>
          <w:tab w:val="left" w:pos="69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bCs/>
          <w:color w:val="auto"/>
          <w:sz w:val="32"/>
          <w:szCs w:val="32"/>
        </w:rPr>
      </w:pPr>
      <w:r>
        <w:rPr>
          <w:rFonts w:hint="eastAsia" w:eastAsia="仿宋_GB2312"/>
          <w:b/>
          <w:color w:val="auto"/>
          <w:sz w:val="32"/>
          <w:szCs w:val="32"/>
        </w:rPr>
        <w:t xml:space="preserve">第二条 </w:t>
      </w:r>
      <w:r>
        <w:rPr>
          <w:rFonts w:hint="eastAsia" w:eastAsia="仿宋_GB2312"/>
          <w:bCs/>
          <w:color w:val="auto"/>
          <w:sz w:val="32"/>
          <w:szCs w:val="32"/>
        </w:rPr>
        <w:t>双盲评阅是指：将评阅人信息对学位论文（实践成果）作者及其导师指导小组、培养单位、答辩委员会成员隐匿；将学位论文（实践成果）作者及其导师指导小组、培养单位信息对评阅人隐匿。</w:t>
      </w:r>
    </w:p>
    <w:p w14:paraId="0315C68A">
      <w:pPr>
        <w:keepNext w:val="0"/>
        <w:keepLines w:val="0"/>
        <w:pageBreakBefore w:val="0"/>
        <w:widowControl w:val="0"/>
        <w:tabs>
          <w:tab w:val="left" w:pos="1260"/>
          <w:tab w:val="left" w:pos="1560"/>
          <w:tab w:val="left" w:pos="69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bCs/>
          <w:color w:val="auto"/>
          <w:sz w:val="32"/>
          <w:szCs w:val="32"/>
        </w:rPr>
      </w:pPr>
      <w:r>
        <w:rPr>
          <w:rFonts w:hint="eastAsia" w:eastAsia="仿宋_GB2312"/>
          <w:b/>
          <w:color w:val="auto"/>
          <w:sz w:val="32"/>
          <w:szCs w:val="32"/>
        </w:rPr>
        <w:t>第三条</w:t>
      </w:r>
      <w:r>
        <w:rPr>
          <w:rFonts w:hint="eastAsia" w:eastAsia="仿宋_GB2312"/>
          <w:bCs/>
          <w:color w:val="auto"/>
          <w:sz w:val="32"/>
          <w:szCs w:val="32"/>
        </w:rPr>
        <w:t xml:space="preserve"> 双盲评阅工作在中国农业科学院学位评定委员会的领导下，由中国农业科学院学位评定委员会办公室（以下简称</w:t>
      </w:r>
      <w:r>
        <w:rPr>
          <w:rFonts w:hint="eastAsia" w:eastAsia="仿宋_GB2312"/>
          <w:bCs/>
          <w:color w:val="auto"/>
          <w:sz w:val="32"/>
          <w:szCs w:val="32"/>
          <w:highlight w:val="none"/>
        </w:rPr>
        <w:t>“</w:t>
      </w:r>
      <w:r>
        <w:rPr>
          <w:rFonts w:hint="eastAsia" w:eastAsia="仿宋_GB2312"/>
          <w:bCs/>
          <w:color w:val="auto"/>
          <w:sz w:val="32"/>
          <w:szCs w:val="32"/>
          <w:highlight w:val="none"/>
          <w:lang w:val="en-US" w:eastAsia="zh-CN"/>
        </w:rPr>
        <w:t>学位办</w:t>
      </w:r>
      <w:r>
        <w:rPr>
          <w:rFonts w:hint="eastAsia" w:eastAsia="仿宋_GB2312"/>
          <w:bCs/>
          <w:color w:val="auto"/>
          <w:sz w:val="32"/>
          <w:szCs w:val="32"/>
          <w:highlight w:val="none"/>
        </w:rPr>
        <w:t>”</w:t>
      </w:r>
      <w:r>
        <w:rPr>
          <w:rFonts w:hint="eastAsia" w:eastAsia="仿宋_GB2312"/>
          <w:bCs/>
          <w:color w:val="auto"/>
          <w:sz w:val="32"/>
          <w:szCs w:val="32"/>
        </w:rPr>
        <w:t>）负责组织开展，各培养单位配合实施。</w:t>
      </w:r>
    </w:p>
    <w:p w14:paraId="756E3B9A">
      <w:pPr>
        <w:keepNext w:val="0"/>
        <w:keepLines w:val="0"/>
        <w:pageBreakBefore w:val="0"/>
        <w:widowControl w:val="0"/>
        <w:tabs>
          <w:tab w:val="left" w:pos="1260"/>
          <w:tab w:val="left" w:pos="1560"/>
          <w:tab w:val="left" w:pos="69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bCs/>
          <w:color w:val="auto"/>
          <w:sz w:val="32"/>
          <w:szCs w:val="32"/>
        </w:rPr>
      </w:pPr>
      <w:r>
        <w:rPr>
          <w:rFonts w:hint="eastAsia" w:eastAsia="仿宋_GB2312"/>
          <w:b/>
          <w:color w:val="auto"/>
          <w:sz w:val="32"/>
          <w:szCs w:val="32"/>
        </w:rPr>
        <w:t>第四条</w:t>
      </w:r>
      <w:r>
        <w:rPr>
          <w:rFonts w:hint="eastAsia" w:eastAsia="仿宋_GB2312"/>
          <w:bCs/>
          <w:color w:val="auto"/>
          <w:sz w:val="32"/>
          <w:szCs w:val="32"/>
        </w:rPr>
        <w:t xml:space="preserve"> 中国农业科学院研究生学位论文（实践成果）全部实行双盲评阅。</w:t>
      </w:r>
    </w:p>
    <w:p w14:paraId="20F167E1">
      <w:pPr>
        <w:keepNext w:val="0"/>
        <w:keepLines w:val="0"/>
        <w:pageBreakBefore w:val="0"/>
        <w:widowControl w:val="0"/>
        <w:tabs>
          <w:tab w:val="left" w:pos="1260"/>
          <w:tab w:val="left" w:pos="1560"/>
          <w:tab w:val="left" w:pos="69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bCs/>
          <w:color w:val="auto"/>
          <w:sz w:val="32"/>
          <w:szCs w:val="32"/>
        </w:rPr>
      </w:pPr>
      <w:bookmarkStart w:id="4" w:name="OLE_LINK73"/>
      <w:r>
        <w:rPr>
          <w:rFonts w:hint="eastAsia" w:eastAsia="仿宋_GB2312"/>
          <w:b/>
          <w:color w:val="auto"/>
          <w:sz w:val="32"/>
          <w:szCs w:val="32"/>
        </w:rPr>
        <w:t>第五条</w:t>
      </w:r>
      <w:r>
        <w:rPr>
          <w:rFonts w:hint="eastAsia" w:eastAsia="仿宋_GB2312"/>
          <w:bCs/>
          <w:color w:val="auto"/>
          <w:sz w:val="32"/>
          <w:szCs w:val="32"/>
        </w:rPr>
        <w:t xml:space="preserve"> 学位申请人须在举行</w:t>
      </w:r>
      <w:r>
        <w:rPr>
          <w:rFonts w:eastAsia="仿宋_GB2312"/>
          <w:color w:val="auto"/>
          <w:sz w:val="32"/>
          <w:szCs w:val="32"/>
        </w:rPr>
        <w:t>答辩</w:t>
      </w:r>
      <w:r>
        <w:rPr>
          <w:rFonts w:hint="eastAsia" w:eastAsia="仿宋_GB2312"/>
          <w:bCs/>
          <w:color w:val="auto"/>
          <w:sz w:val="32"/>
          <w:szCs w:val="32"/>
        </w:rPr>
        <w:t>前至少三十日提交学位论文（实践成果）。提交的学位论文（实践成果）不得出现任何反映学位申请人身份的信息。</w:t>
      </w:r>
    </w:p>
    <w:bookmarkEnd w:id="4"/>
    <w:p w14:paraId="682AE08D">
      <w:pPr>
        <w:keepNext w:val="0"/>
        <w:keepLines w:val="0"/>
        <w:pageBreakBefore w:val="0"/>
        <w:widowControl w:val="0"/>
        <w:tabs>
          <w:tab w:val="left" w:pos="1260"/>
          <w:tab w:val="left" w:pos="1560"/>
          <w:tab w:val="left" w:pos="69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bCs/>
          <w:color w:val="auto"/>
          <w:sz w:val="32"/>
          <w:szCs w:val="32"/>
        </w:rPr>
      </w:pPr>
      <w:r>
        <w:rPr>
          <w:rFonts w:hint="eastAsia" w:eastAsia="仿宋_GB2312"/>
          <w:b/>
          <w:color w:val="auto"/>
          <w:sz w:val="32"/>
          <w:szCs w:val="32"/>
        </w:rPr>
        <w:t>第六条</w:t>
      </w:r>
      <w:r>
        <w:rPr>
          <w:rFonts w:hint="eastAsia" w:eastAsia="仿宋_GB2312"/>
          <w:bCs/>
          <w:color w:val="auto"/>
          <w:sz w:val="32"/>
          <w:szCs w:val="32"/>
        </w:rPr>
        <w:t xml:space="preserve"> 硕士学位论文（实践成果）的评阅人由三名具有研究生导师资格或高级职称的专家担任，其中院外专家至少一名。博士学位论文（实践成果）的评阅人由三名具有博士生导师资格或正高级职称的专家担任，其中院外专家至少两名。</w:t>
      </w:r>
    </w:p>
    <w:p w14:paraId="4FF57BCE">
      <w:pPr>
        <w:keepNext w:val="0"/>
        <w:keepLines w:val="0"/>
        <w:pageBreakBefore w:val="0"/>
        <w:widowControl w:val="0"/>
        <w:tabs>
          <w:tab w:val="left" w:pos="1260"/>
          <w:tab w:val="left" w:pos="1560"/>
          <w:tab w:val="left" w:pos="69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bCs/>
          <w:color w:val="auto"/>
          <w:sz w:val="32"/>
          <w:szCs w:val="32"/>
        </w:rPr>
      </w:pPr>
      <w:bookmarkStart w:id="5" w:name="OLE_LINK74"/>
      <w:r>
        <w:rPr>
          <w:rFonts w:hint="eastAsia" w:eastAsia="仿宋_GB2312"/>
          <w:b/>
          <w:color w:val="auto"/>
          <w:sz w:val="32"/>
          <w:szCs w:val="32"/>
        </w:rPr>
        <w:t>第七条</w:t>
      </w:r>
      <w:r>
        <w:rPr>
          <w:rFonts w:hint="eastAsia" w:eastAsia="仿宋_GB2312"/>
          <w:bCs/>
          <w:color w:val="auto"/>
          <w:sz w:val="32"/>
          <w:szCs w:val="32"/>
        </w:rPr>
        <w:t xml:space="preserve"> 评阅人应根据不同学位层次和学位类型研究生应具备的知识和能力，参照中国农业科学院学位论文（实践成果）相应的评价指标，作出“优、良、中、差”的分项评价和总体评价，撰写学术评语和修改建议，并提出“同意答辩”“较大修改后答辩”或者“不同意答辩”的意见。</w:t>
      </w:r>
    </w:p>
    <w:bookmarkEnd w:id="5"/>
    <w:p w14:paraId="179B6DF9">
      <w:pPr>
        <w:keepNext w:val="0"/>
        <w:keepLines w:val="0"/>
        <w:pageBreakBefore w:val="0"/>
        <w:widowControl w:val="0"/>
        <w:tabs>
          <w:tab w:val="left" w:pos="1260"/>
          <w:tab w:val="left" w:pos="1560"/>
          <w:tab w:val="left" w:pos="69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bCs/>
          <w:color w:val="auto"/>
          <w:sz w:val="32"/>
          <w:szCs w:val="32"/>
        </w:rPr>
      </w:pPr>
      <w:r>
        <w:rPr>
          <w:rFonts w:hint="eastAsia" w:eastAsia="仿宋_GB2312"/>
          <w:b/>
          <w:color w:val="auto"/>
          <w:sz w:val="32"/>
          <w:szCs w:val="32"/>
        </w:rPr>
        <w:t>第八条</w:t>
      </w:r>
      <w:r>
        <w:rPr>
          <w:rFonts w:hint="eastAsia" w:eastAsia="仿宋_GB2312"/>
          <w:bCs/>
          <w:color w:val="auto"/>
          <w:sz w:val="32"/>
          <w:szCs w:val="32"/>
        </w:rPr>
        <w:t xml:space="preserve"> 评阅意见为“较大修改后答辩”的，须在申请人参照评阅意见修改后送该评阅人进行复评；如该评阅人拒绝复评，另增聘两名评阅人。有一名评阅人持“不同意答辩”意见的，另增聘两名评阅人。提交复评和增评时，须附初评意见及修改说明。</w:t>
      </w:r>
    </w:p>
    <w:p w14:paraId="40D69EA8">
      <w:pPr>
        <w:keepNext w:val="0"/>
        <w:keepLines w:val="0"/>
        <w:pageBreakBefore w:val="0"/>
        <w:widowControl w:val="0"/>
        <w:tabs>
          <w:tab w:val="left" w:pos="1260"/>
          <w:tab w:val="left" w:pos="1560"/>
          <w:tab w:val="left" w:pos="69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bCs/>
          <w:color w:val="auto"/>
          <w:sz w:val="32"/>
          <w:szCs w:val="32"/>
        </w:rPr>
      </w:pPr>
      <w:r>
        <w:rPr>
          <w:rFonts w:hint="eastAsia" w:eastAsia="仿宋_GB2312"/>
          <w:bCs/>
          <w:color w:val="auto"/>
          <w:sz w:val="32"/>
          <w:szCs w:val="32"/>
        </w:rPr>
        <w:t>累计有</w:t>
      </w:r>
      <w:bookmarkStart w:id="6" w:name="OLE_LINK276"/>
      <w:r>
        <w:rPr>
          <w:rFonts w:hint="eastAsia" w:eastAsia="仿宋_GB2312"/>
          <w:bCs/>
          <w:color w:val="auto"/>
          <w:sz w:val="32"/>
          <w:szCs w:val="32"/>
        </w:rPr>
        <w:t>两</w:t>
      </w:r>
      <w:bookmarkEnd w:id="6"/>
      <w:r>
        <w:rPr>
          <w:rFonts w:hint="eastAsia" w:eastAsia="仿宋_GB2312"/>
          <w:bCs/>
          <w:color w:val="auto"/>
          <w:sz w:val="32"/>
          <w:szCs w:val="32"/>
        </w:rPr>
        <w:t>名及以上评阅人持“不同意答辩”意见的，或者累计有一名评阅人持“不同意答辩”及两名评阅人持“较大修改后答辩”意见的，本次学位申</w:t>
      </w:r>
      <w:bookmarkStart w:id="7" w:name="OLE_LINK76"/>
      <w:bookmarkStart w:id="8" w:name="OLE_LINK77"/>
      <w:r>
        <w:rPr>
          <w:rFonts w:hint="eastAsia" w:eastAsia="仿宋_GB2312"/>
          <w:bCs/>
          <w:color w:val="auto"/>
          <w:sz w:val="32"/>
          <w:szCs w:val="32"/>
        </w:rPr>
        <w:t>请终止。</w:t>
      </w:r>
    </w:p>
    <w:p w14:paraId="04916B87">
      <w:pPr>
        <w:keepNext w:val="0"/>
        <w:keepLines w:val="0"/>
        <w:pageBreakBefore w:val="0"/>
        <w:widowControl w:val="0"/>
        <w:tabs>
          <w:tab w:val="left" w:pos="1260"/>
          <w:tab w:val="left" w:pos="1560"/>
          <w:tab w:val="left" w:pos="69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bCs/>
          <w:color w:val="auto"/>
          <w:sz w:val="32"/>
          <w:szCs w:val="32"/>
        </w:rPr>
      </w:pPr>
      <w:r>
        <w:rPr>
          <w:rFonts w:hint="eastAsia" w:eastAsia="仿宋_GB2312"/>
          <w:bCs/>
          <w:color w:val="auto"/>
          <w:sz w:val="32"/>
          <w:szCs w:val="32"/>
        </w:rPr>
        <w:t>初评三份评阅意见均为“同意答辩”，或者经复评和增评均为“同意答辩”的，可予组织答辩，否则答辩无效。</w:t>
      </w:r>
    </w:p>
    <w:p w14:paraId="59D6BB03">
      <w:pPr>
        <w:keepNext w:val="0"/>
        <w:keepLines w:val="0"/>
        <w:pageBreakBefore w:val="0"/>
        <w:widowControl w:val="0"/>
        <w:tabs>
          <w:tab w:val="left" w:pos="1260"/>
          <w:tab w:val="left" w:pos="1560"/>
          <w:tab w:val="left" w:pos="69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bCs/>
          <w:color w:val="auto"/>
          <w:sz w:val="32"/>
          <w:szCs w:val="32"/>
        </w:rPr>
      </w:pPr>
      <w:r>
        <w:rPr>
          <w:rFonts w:hint="eastAsia" w:eastAsia="仿宋_GB2312"/>
          <w:bCs/>
          <w:color w:val="auto"/>
          <w:sz w:val="32"/>
          <w:szCs w:val="32"/>
        </w:rPr>
        <w:t>在当次规定时间内未完成答辩</w:t>
      </w:r>
      <w:r>
        <w:rPr>
          <w:rFonts w:hint="eastAsia" w:eastAsia="仿宋_GB2312"/>
          <w:bCs/>
          <w:color w:val="auto"/>
          <w:sz w:val="32"/>
          <w:szCs w:val="32"/>
          <w:lang w:val="en-US" w:eastAsia="zh-CN"/>
        </w:rPr>
        <w:t>或已完成答辩但未获得毕业证书的，</w:t>
      </w:r>
      <w:r>
        <w:rPr>
          <w:rFonts w:hint="eastAsia" w:eastAsia="仿宋_GB2312"/>
          <w:bCs/>
          <w:color w:val="auto"/>
          <w:sz w:val="32"/>
          <w:szCs w:val="32"/>
        </w:rPr>
        <w:t>再次申请时须重新送审。</w:t>
      </w:r>
      <w:bookmarkStart w:id="22" w:name="_GoBack"/>
      <w:bookmarkEnd w:id="22"/>
    </w:p>
    <w:p w14:paraId="1DD138EF">
      <w:pPr>
        <w:keepNext w:val="0"/>
        <w:keepLines w:val="0"/>
        <w:pageBreakBefore w:val="0"/>
        <w:widowControl w:val="0"/>
        <w:tabs>
          <w:tab w:val="left" w:pos="1260"/>
          <w:tab w:val="left" w:pos="1560"/>
          <w:tab w:val="left" w:pos="69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bCs/>
          <w:color w:val="auto"/>
          <w:sz w:val="32"/>
          <w:szCs w:val="32"/>
        </w:rPr>
      </w:pPr>
      <w:r>
        <w:rPr>
          <w:rFonts w:hint="eastAsia" w:eastAsia="仿宋_GB2312"/>
          <w:b/>
          <w:color w:val="auto"/>
          <w:sz w:val="32"/>
          <w:szCs w:val="32"/>
        </w:rPr>
        <w:t>第九条</w:t>
      </w:r>
      <w:r>
        <w:rPr>
          <w:rFonts w:hint="eastAsia" w:eastAsia="仿宋_GB2312"/>
          <w:bCs/>
          <w:color w:val="auto"/>
          <w:sz w:val="32"/>
          <w:szCs w:val="32"/>
        </w:rPr>
        <w:t xml:space="preserve"> </w:t>
      </w:r>
      <w:bookmarkStart w:id="9" w:name="_Hlk210384794"/>
      <w:r>
        <w:rPr>
          <w:rFonts w:hint="eastAsia" w:eastAsia="仿宋_GB2312"/>
          <w:bCs/>
          <w:color w:val="auto"/>
          <w:sz w:val="32"/>
          <w:szCs w:val="32"/>
        </w:rPr>
        <w:t>学位申请人的</w:t>
      </w:r>
      <w:bookmarkEnd w:id="9"/>
      <w:r>
        <w:rPr>
          <w:rFonts w:hint="eastAsia" w:eastAsia="仿宋_GB2312"/>
          <w:bCs/>
          <w:color w:val="auto"/>
          <w:sz w:val="32"/>
          <w:szCs w:val="32"/>
        </w:rPr>
        <w:t>导师可在学位论文（实践成果）提交前提出一般不超过三名</w:t>
      </w:r>
      <w:r>
        <w:rPr>
          <w:rFonts w:hint="eastAsia" w:eastAsia="仿宋_GB2312"/>
          <w:bCs/>
          <w:color w:val="auto"/>
          <w:sz w:val="32"/>
          <w:szCs w:val="32"/>
          <w:highlight w:val="none"/>
        </w:rPr>
        <w:t>评阅人</w:t>
      </w:r>
      <w:r>
        <w:rPr>
          <w:rFonts w:hint="eastAsia" w:eastAsia="仿宋_GB2312"/>
          <w:bCs/>
          <w:color w:val="auto"/>
          <w:sz w:val="32"/>
          <w:szCs w:val="32"/>
        </w:rPr>
        <w:t>的回避名单，名单须经所级学位评定委员会主席同意后报学位办。</w:t>
      </w:r>
      <w:bookmarkStart w:id="10" w:name="OLE_LINK106"/>
      <w:bookmarkStart w:id="11" w:name="OLE_LINK107"/>
      <w:r>
        <w:rPr>
          <w:rFonts w:hint="eastAsia" w:eastAsia="仿宋_GB2312"/>
          <w:bCs/>
          <w:color w:val="auto"/>
          <w:sz w:val="32"/>
          <w:szCs w:val="32"/>
        </w:rPr>
        <w:t>学位申请人对评阅意见有异议的，可按照《中国农业科学院学位授予工作复核实施办法（试行）》</w:t>
      </w:r>
      <w:bookmarkEnd w:id="10"/>
      <w:bookmarkEnd w:id="11"/>
      <w:bookmarkStart w:id="12" w:name="OLE_LINK105"/>
      <w:bookmarkStart w:id="13" w:name="OLE_LINK102"/>
      <w:r>
        <w:rPr>
          <w:rFonts w:hint="eastAsia" w:eastAsia="仿宋_GB2312"/>
          <w:bCs/>
          <w:color w:val="auto"/>
          <w:sz w:val="32"/>
          <w:szCs w:val="32"/>
        </w:rPr>
        <w:t>的规定申请学术复核。</w:t>
      </w:r>
      <w:bookmarkEnd w:id="12"/>
      <w:bookmarkEnd w:id="13"/>
    </w:p>
    <w:bookmarkEnd w:id="7"/>
    <w:bookmarkEnd w:id="8"/>
    <w:p w14:paraId="7E81F04D">
      <w:pPr>
        <w:keepNext w:val="0"/>
        <w:keepLines w:val="0"/>
        <w:pageBreakBefore w:val="0"/>
        <w:widowControl w:val="0"/>
        <w:tabs>
          <w:tab w:val="left" w:pos="1260"/>
          <w:tab w:val="left" w:pos="1560"/>
          <w:tab w:val="left" w:pos="69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bCs/>
          <w:color w:val="auto"/>
          <w:sz w:val="32"/>
          <w:szCs w:val="32"/>
        </w:rPr>
      </w:pPr>
      <w:bookmarkStart w:id="14" w:name="OLE_LINK123"/>
      <w:bookmarkStart w:id="15" w:name="OLE_LINK122"/>
      <w:bookmarkStart w:id="16" w:name="OLE_LINK79"/>
      <w:r>
        <w:rPr>
          <w:rFonts w:hint="eastAsia" w:eastAsia="仿宋_GB2312"/>
          <w:b/>
          <w:color w:val="auto"/>
          <w:sz w:val="32"/>
          <w:szCs w:val="32"/>
        </w:rPr>
        <w:t>第十条</w:t>
      </w:r>
      <w:bookmarkEnd w:id="14"/>
      <w:bookmarkEnd w:id="15"/>
      <w:r>
        <w:rPr>
          <w:rFonts w:hint="eastAsia" w:eastAsia="仿宋_GB2312"/>
          <w:bCs/>
          <w:color w:val="auto"/>
          <w:sz w:val="32"/>
          <w:szCs w:val="32"/>
        </w:rPr>
        <w:t xml:space="preserve"> 学位申请人应承担学位论文（实践成果）质量直接责任，在收到评阅意见后，参照评阅意见进行修改，填写</w:t>
      </w:r>
      <w:r>
        <w:rPr>
          <w:rFonts w:hint="eastAsia" w:eastAsia="仿宋_GB2312"/>
          <w:bCs/>
          <w:color w:val="auto"/>
          <w:sz w:val="32"/>
          <w:szCs w:val="32"/>
          <w:lang w:eastAsia="zh-CN"/>
        </w:rPr>
        <w:t>《</w:t>
      </w:r>
      <w:r>
        <w:rPr>
          <w:rFonts w:hint="eastAsia" w:eastAsia="仿宋_GB2312"/>
          <w:bCs/>
          <w:color w:val="auto"/>
          <w:sz w:val="32"/>
          <w:szCs w:val="32"/>
        </w:rPr>
        <w:t>研究生学位论文（实践成果）修改说明表</w:t>
      </w:r>
      <w:r>
        <w:rPr>
          <w:rFonts w:hint="eastAsia" w:eastAsia="仿宋_GB2312"/>
          <w:bCs/>
          <w:color w:val="auto"/>
          <w:sz w:val="32"/>
          <w:szCs w:val="32"/>
          <w:lang w:eastAsia="zh-CN"/>
        </w:rPr>
        <w:t>》</w:t>
      </w:r>
      <w:r>
        <w:rPr>
          <w:rFonts w:hint="eastAsia" w:eastAsia="仿宋_GB2312"/>
          <w:bCs/>
          <w:color w:val="auto"/>
          <w:sz w:val="32"/>
          <w:szCs w:val="32"/>
        </w:rPr>
        <w:t>。导师应履行第一责任人职责，指导学位申请人分析评阅意见，对学位论文（实践成果）进行把关，并有权终止学位申请。各培养单位应加强学位论文（实践成果）质量管理，可结合实际情况开展预评阅或预答辩。答辩委员会及各级学位评定委员会应强化学术把关，对于评阅意见中存在“不同意答辩”“较大修改后答辩”，或总体评价为“差”“中”，或分项评价出现“差”的学位论文（实践成果），予以重点关注和审核。</w:t>
      </w:r>
      <w:bookmarkEnd w:id="16"/>
      <w:bookmarkStart w:id="17" w:name="OLE_LINK95"/>
      <w:bookmarkStart w:id="18" w:name="OLE_LINK80"/>
    </w:p>
    <w:p w14:paraId="59ECC51D">
      <w:pPr>
        <w:keepNext w:val="0"/>
        <w:keepLines w:val="0"/>
        <w:pageBreakBefore w:val="0"/>
        <w:widowControl w:val="0"/>
        <w:tabs>
          <w:tab w:val="left" w:pos="1260"/>
          <w:tab w:val="left" w:pos="1560"/>
          <w:tab w:val="left" w:pos="69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bCs/>
          <w:color w:val="auto"/>
          <w:sz w:val="32"/>
          <w:szCs w:val="32"/>
        </w:rPr>
      </w:pPr>
      <w:r>
        <w:rPr>
          <w:rFonts w:hint="eastAsia" w:eastAsia="仿宋_GB2312"/>
          <w:b/>
          <w:color w:val="auto"/>
          <w:sz w:val="32"/>
          <w:szCs w:val="32"/>
        </w:rPr>
        <w:t>第十一条</w:t>
      </w:r>
      <w:r>
        <w:rPr>
          <w:rFonts w:hint="eastAsia" w:eastAsia="仿宋_GB2312"/>
          <w:bCs/>
          <w:color w:val="auto"/>
          <w:sz w:val="32"/>
          <w:szCs w:val="32"/>
        </w:rPr>
        <w:t xml:space="preserve"> 评阅意见中指出存在代写、剽窃、伪造等学术不端行为的，经查实，取消学位申请人学位申请资格，并追究其导师责任。导师连续两年或一年内有两名及以上所指导研究生的学位论文（实践成果）未通过评阅，视情节轻重对其减招或暂停招生。双盲评阅结果纳入培养单位研究生教育年度考核指标体系。</w:t>
      </w:r>
    </w:p>
    <w:bookmarkEnd w:id="17"/>
    <w:bookmarkEnd w:id="18"/>
    <w:p w14:paraId="6B52CF36">
      <w:pPr>
        <w:keepNext w:val="0"/>
        <w:keepLines w:val="0"/>
        <w:pageBreakBefore w:val="0"/>
        <w:widowControl w:val="0"/>
        <w:tabs>
          <w:tab w:val="left" w:pos="1260"/>
          <w:tab w:val="left" w:pos="1560"/>
          <w:tab w:val="left" w:pos="69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bCs/>
          <w:color w:val="auto"/>
          <w:sz w:val="32"/>
          <w:szCs w:val="32"/>
        </w:rPr>
      </w:pPr>
      <w:r>
        <w:rPr>
          <w:rFonts w:hint="eastAsia" w:eastAsia="仿宋_GB2312"/>
          <w:b/>
          <w:color w:val="auto"/>
          <w:sz w:val="32"/>
          <w:szCs w:val="32"/>
        </w:rPr>
        <w:t>第十二条</w:t>
      </w:r>
      <w:r>
        <w:rPr>
          <w:rFonts w:hint="eastAsia" w:eastAsia="仿宋_GB2312"/>
          <w:bCs/>
          <w:color w:val="auto"/>
          <w:sz w:val="32"/>
          <w:szCs w:val="32"/>
        </w:rPr>
        <w:t xml:space="preserve"> 相关工作人员必须遵守保密原则，不得向任何人泄露双盲评阅的信息，任何单位和个人不得以任何理由或方式探询、干扰双盲评阅工作，违者视情节给予严肃处理。</w:t>
      </w:r>
    </w:p>
    <w:p w14:paraId="62E4371D">
      <w:pPr>
        <w:keepNext w:val="0"/>
        <w:keepLines w:val="0"/>
        <w:pageBreakBefore w:val="0"/>
        <w:widowControl w:val="0"/>
        <w:tabs>
          <w:tab w:val="left" w:pos="1260"/>
          <w:tab w:val="left" w:pos="1560"/>
          <w:tab w:val="left" w:pos="694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bCs/>
          <w:color w:val="auto"/>
          <w:sz w:val="32"/>
          <w:szCs w:val="32"/>
        </w:rPr>
      </w:pPr>
      <w:bookmarkStart w:id="19" w:name="OLE_LINK121"/>
      <w:r>
        <w:rPr>
          <w:rFonts w:hint="eastAsia" w:eastAsia="仿宋_GB2312"/>
          <w:b/>
          <w:color w:val="auto"/>
          <w:sz w:val="32"/>
          <w:szCs w:val="32"/>
        </w:rPr>
        <w:t>第十三条</w:t>
      </w:r>
      <w:r>
        <w:rPr>
          <w:rFonts w:hint="eastAsia" w:eastAsia="仿宋_GB2312"/>
          <w:bCs/>
          <w:color w:val="auto"/>
          <w:sz w:val="32"/>
          <w:szCs w:val="32"/>
        </w:rPr>
        <w:t xml:space="preserve"> 涉密学位论文（实践成果）执行《涉密研究生与涉密学位论文管理办法》，不参加双盲评阅</w:t>
      </w:r>
      <w:bookmarkEnd w:id="19"/>
      <w:r>
        <w:rPr>
          <w:rFonts w:hint="eastAsia" w:eastAsia="仿宋_GB2312"/>
          <w:bCs/>
          <w:color w:val="auto"/>
          <w:sz w:val="32"/>
          <w:szCs w:val="32"/>
        </w:rPr>
        <w:t>。</w:t>
      </w:r>
    </w:p>
    <w:p w14:paraId="68232D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eastAsia="仿宋_GB2312"/>
          <w:bCs/>
          <w:color w:val="auto"/>
          <w:sz w:val="32"/>
          <w:szCs w:val="32"/>
        </w:rPr>
      </w:pPr>
      <w:bookmarkStart w:id="20" w:name="OLE_LINK125"/>
      <w:bookmarkStart w:id="21" w:name="OLE_LINK124"/>
      <w:r>
        <w:rPr>
          <w:rFonts w:hint="eastAsia" w:eastAsia="仿宋_GB2312"/>
          <w:b/>
          <w:color w:val="auto"/>
          <w:sz w:val="32"/>
          <w:szCs w:val="32"/>
        </w:rPr>
        <w:t>第十四条</w:t>
      </w:r>
      <w:r>
        <w:rPr>
          <w:rFonts w:hint="eastAsia" w:eastAsia="仿宋_GB2312"/>
          <w:bCs/>
          <w:color w:val="auto"/>
          <w:sz w:val="32"/>
          <w:szCs w:val="32"/>
        </w:rPr>
        <w:t xml:space="preserve"> 本办法由</w:t>
      </w:r>
      <w:r>
        <w:rPr>
          <w:rFonts w:hint="eastAsia" w:eastAsia="仿宋_GB2312"/>
          <w:bCs/>
          <w:color w:val="auto"/>
          <w:sz w:val="32"/>
          <w:szCs w:val="32"/>
          <w:lang w:val="en-US" w:eastAsia="zh-CN"/>
        </w:rPr>
        <w:t>学位办</w:t>
      </w:r>
      <w:r>
        <w:rPr>
          <w:rFonts w:hint="eastAsia" w:eastAsia="仿宋_GB2312"/>
          <w:bCs/>
          <w:color w:val="auto"/>
          <w:sz w:val="32"/>
          <w:szCs w:val="32"/>
        </w:rPr>
        <w:t>负责解释。</w:t>
      </w:r>
    </w:p>
    <w:p w14:paraId="3EC65C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eastAsia="仿宋_GB2312"/>
          <w:b/>
          <w:color w:val="auto"/>
          <w:sz w:val="32"/>
          <w:szCs w:val="32"/>
        </w:rPr>
        <w:t xml:space="preserve">第十五条 </w:t>
      </w:r>
      <w:r>
        <w:rPr>
          <w:rFonts w:hint="eastAsia" w:eastAsia="仿宋_GB2312"/>
          <w:bCs/>
          <w:color w:val="auto"/>
          <w:sz w:val="32"/>
          <w:szCs w:val="32"/>
        </w:rPr>
        <w:t>本办法自2026年</w:t>
      </w:r>
      <w:r>
        <w:rPr>
          <w:rFonts w:hint="eastAsia" w:eastAsia="仿宋_GB2312"/>
          <w:bCs/>
          <w:color w:val="auto"/>
          <w:sz w:val="32"/>
          <w:szCs w:val="32"/>
          <w:lang w:val="en-US" w:eastAsia="zh-CN"/>
        </w:rPr>
        <w:t>7</w:t>
      </w:r>
      <w:r>
        <w:rPr>
          <w:rFonts w:hint="eastAsia" w:eastAsia="仿宋_GB2312"/>
          <w:bCs/>
          <w:color w:val="auto"/>
          <w:sz w:val="32"/>
          <w:szCs w:val="32"/>
        </w:rPr>
        <w:t>月起施行。</w:t>
      </w:r>
      <w:bookmarkEnd w:id="20"/>
      <w:bookmarkEnd w:id="21"/>
      <w:r>
        <w:rPr>
          <w:rFonts w:hint="eastAsia" w:eastAsia="仿宋_GB2312"/>
          <w:bCs/>
          <w:color w:val="auto"/>
          <w:sz w:val="32"/>
          <w:szCs w:val="32"/>
        </w:rPr>
        <w:t>原《中国农业科学院学位论文双盲制评阅实施办法》同时废止。</w:t>
      </w:r>
    </w:p>
    <w:p w14:paraId="5AD2A019">
      <w:pPr>
        <w:spacing w:line="600" w:lineRule="exact"/>
        <w:rPr>
          <w:rFonts w:eastAsia="黑体"/>
          <w:color w:val="auto"/>
          <w:sz w:val="32"/>
          <w:szCs w:val="32"/>
        </w:rPr>
      </w:pPr>
    </w:p>
    <w:p w14:paraId="53A14E56">
      <w:pPr>
        <w:rPr>
          <w:color w:val="auto"/>
        </w:rPr>
      </w:pPr>
    </w:p>
    <w:sectPr>
      <w:footerReference r:id="rId3" w:type="default"/>
      <w:footerReference r:id="rId4" w:type="even"/>
      <w:pgSz w:w="11906" w:h="16838"/>
      <w:pgMar w:top="1440" w:right="1531" w:bottom="1440" w:left="1531" w:header="851" w:footer="850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9777D54-6B04-48FB-92A1-C54CE6FEB9A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2" w:fontKey="{28605C0B-B32C-446B-8315-71C11CD87483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68342F44-CD28-4E55-A29D-8F5DA44BE55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CDC0525E-700D-4C7B-9300-885DFB1E004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BB39D3">
    <w:pPr>
      <w:pStyle w:val="2"/>
      <w:ind w:right="338" w:rightChars="161"/>
      <w:jc w:val="right"/>
      <w:rPr>
        <w:rFonts w:hint="eastAsia" w:ascii="宋体" w:hAnsi="宋体"/>
        <w:sz w:val="28"/>
        <w:szCs w:val="28"/>
      </w:rPr>
    </w:pPr>
    <w:r>
      <w:rPr>
        <w:sz w:val="28"/>
        <w:szCs w:val="28"/>
      </w:rPr>
      <w:t>—</w:t>
    </w:r>
    <w:r>
      <w:rPr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2</w:t>
    </w:r>
    <w:r>
      <w:rPr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</w:t>
    </w:r>
    <w:r>
      <w:rPr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CFC029">
    <w:pPr>
      <w:pStyle w:val="2"/>
      <w:ind w:firstLine="425" w:firstLineChars="152"/>
      <w:rPr>
        <w:rFonts w:hint="eastAsia" w:ascii="宋体" w:hAnsi="宋体"/>
        <w:sz w:val="28"/>
        <w:szCs w:val="28"/>
      </w:rPr>
    </w:pPr>
    <w:r>
      <w:rPr>
        <w:sz w:val="28"/>
        <w:szCs w:val="28"/>
      </w:rPr>
      <w:t>—</w:t>
    </w:r>
    <w:r>
      <w:rPr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2</w:t>
    </w:r>
    <w:r>
      <w:rPr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</w:t>
    </w:r>
    <w:r>
      <w:rPr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FA3F1A"/>
    <w:rsid w:val="01FA3F1A"/>
    <w:rsid w:val="11A93F95"/>
    <w:rsid w:val="1AFD7151"/>
    <w:rsid w:val="27842A64"/>
    <w:rsid w:val="4D183002"/>
    <w:rsid w:val="50856264"/>
    <w:rsid w:val="558111EC"/>
    <w:rsid w:val="5CA21CE7"/>
    <w:rsid w:val="6140737B"/>
    <w:rsid w:val="67EB67D8"/>
    <w:rsid w:val="771828B6"/>
    <w:rsid w:val="7B8B2792"/>
    <w:rsid w:val="7DAC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1564</Words>
  <Characters>1567</Characters>
  <Lines>0</Lines>
  <Paragraphs>0</Paragraphs>
  <TotalTime>12</TotalTime>
  <ScaleCrop>false</ScaleCrop>
  <LinksUpToDate>false</LinksUpToDate>
  <CharactersWithSpaces>1582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2026-07-02T09:09:00Z</dcterms:created>
  <dc:creator>崧妈田松洁</dc:creator>
  <cp:lastModifiedBy>崧妈田松洁</cp:lastModifiedBy>
  <dcterms:modified xsi:type="dcterms:W3CDTF">2026-07-10T09:03:42Z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575038A1E54F4E4A978E6C3BF3D0405E_11</vt:lpwstr>
  </property>
  <property fmtid="{D5CDD505-2E9C-101B-9397-08002B2CF9AE}" pid="4" name="KSOTemplateDocerSaveRecord">
    <vt:lpwstr>eyJoZGlkIjoiMTQ1NGMzNmM3ZjNlZWU2NDJhMjg5NGEyYmIwZDg0NWQiLCJ1c2VySWQiOiIzMjEwMTYxODQifQ==</vt:lpwstr>
  </property>
</Properties>
</file>